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AA" w:rsidRPr="00243AAA" w:rsidRDefault="00243AAA" w:rsidP="00243AAA">
      <w:pPr>
        <w:spacing w:after="0" w:line="195" w:lineRule="atLeast"/>
        <w:textAlignment w:val="baseline"/>
        <w:rPr>
          <w:rFonts w:ascii="Trebuchet MS" w:eastAsia="Times New Roman" w:hAnsi="Trebuchet MS" w:cs="Times New Roman"/>
          <w:color w:val="717174"/>
          <w:sz w:val="20"/>
          <w:szCs w:val="20"/>
        </w:rPr>
      </w:pPr>
      <w:r w:rsidRPr="00243AAA">
        <w:rPr>
          <w:rFonts w:ascii="Trebuchet MS" w:eastAsia="Times New Roman" w:hAnsi="Trebuchet MS" w:cs="Times New Roman"/>
          <w:noProof/>
          <w:color w:val="0066CC"/>
          <w:sz w:val="20"/>
          <w:szCs w:val="20"/>
          <w:bdr w:val="none" w:sz="0" w:space="0" w:color="auto" w:frame="1"/>
        </w:rPr>
        <w:drawing>
          <wp:inline distT="0" distB="0" distL="0" distR="0" wp14:anchorId="6F50381B" wp14:editId="2E9465F8">
            <wp:extent cx="2409825" cy="1009650"/>
            <wp:effectExtent l="0" t="0" r="0" b="0"/>
            <wp:docPr id="1" name="Picture 1" descr="http://www.nationaleatingdisorders.org/sites/all/themes/neda/images/neda-logo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ationaleatingdisorders.org/sites/all/themes/neda/images/neda-logo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AAA">
        <w:rPr>
          <w:rFonts w:ascii="Trebuchet MS" w:eastAsia="Times New Roman" w:hAnsi="Trebuchet MS" w:cs="Times New Roman"/>
          <w:noProof/>
          <w:color w:val="0066CC"/>
          <w:sz w:val="20"/>
          <w:szCs w:val="20"/>
          <w:bdr w:val="none" w:sz="0" w:space="0" w:color="auto" w:frame="1"/>
        </w:rPr>
        <w:drawing>
          <wp:inline distT="0" distB="0" distL="0" distR="0" wp14:anchorId="73855639" wp14:editId="051379C0">
            <wp:extent cx="1485900" cy="333375"/>
            <wp:effectExtent l="0" t="0" r="0" b="9525"/>
            <wp:docPr id="2" name="Picture 2" descr="http://www.nationaleatingdisorders.org/sites/all/themes/neda/images/proud-to-be-me-logo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ationaleatingdisorders.org/sites/all/themes/neda/images/proud-to-be-me-logo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AA" w:rsidRPr="00243AAA" w:rsidRDefault="00243AAA" w:rsidP="00243AAA">
      <w:pPr>
        <w:shd w:val="clear" w:color="auto" w:fill="F1F7E4"/>
        <w:spacing w:after="0" w:line="195" w:lineRule="atLeast"/>
        <w:textAlignment w:val="baseline"/>
        <w:rPr>
          <w:rFonts w:ascii="Trebuchet MS" w:eastAsia="Times New Roman" w:hAnsi="Trebuchet MS" w:cs="Times New Roman"/>
          <w:color w:val="717174"/>
          <w:sz w:val="20"/>
          <w:szCs w:val="20"/>
        </w:rPr>
      </w:pPr>
      <w:bookmarkStart w:id="0" w:name="_GoBack"/>
      <w:r w:rsidRPr="00243AAA">
        <w:rPr>
          <w:rFonts w:ascii="Trebuchet MS" w:eastAsia="Times New Roman" w:hAnsi="Trebuchet MS" w:cs="Times New Roman"/>
          <w:noProof/>
          <w:color w:val="717174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1905</wp:posOffset>
            </wp:positionV>
            <wp:extent cx="8046720" cy="1463821"/>
            <wp:effectExtent l="0" t="0" r="0" b="3175"/>
            <wp:wrapTopAndBottom/>
            <wp:docPr id="6" name="Picture 6" descr="http://www.nationaleatingdisorders.org/sites/default/files/learn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nationaleatingdisorders.org/sites/default/files/learn_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4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3AAA" w:rsidRPr="00243AAA" w:rsidRDefault="00243AAA" w:rsidP="00243AAA">
      <w:pPr>
        <w:spacing w:after="0" w:line="195" w:lineRule="atLeast"/>
        <w:textAlignment w:val="baseline"/>
        <w:rPr>
          <w:rFonts w:ascii="Trebuchet MS" w:eastAsia="Times New Roman" w:hAnsi="Trebuchet MS" w:cs="Times New Roman"/>
          <w:color w:val="717174"/>
          <w:sz w:val="20"/>
          <w:szCs w:val="20"/>
        </w:rPr>
      </w:pPr>
      <w:hyperlink r:id="rId10" w:history="1">
        <w:r w:rsidRPr="00243AAA">
          <w:rPr>
            <w:rFonts w:ascii="Trebuchet MS" w:eastAsia="Times New Roman" w:hAnsi="Trebuchet MS" w:cs="Times New Roman"/>
            <w:color w:val="717174"/>
            <w:sz w:val="20"/>
            <w:szCs w:val="20"/>
            <w:u w:val="single"/>
            <w:bdr w:val="none" w:sz="0" w:space="0" w:color="auto" w:frame="1"/>
          </w:rPr>
          <w:t>Home</w:t>
        </w:r>
      </w:hyperlink>
      <w:r w:rsidRPr="00243AAA">
        <w:rPr>
          <w:rFonts w:ascii="Trebuchet MS" w:eastAsia="Times New Roman" w:hAnsi="Trebuchet MS" w:cs="Times New Roman"/>
          <w:color w:val="717174"/>
          <w:sz w:val="20"/>
          <w:szCs w:val="20"/>
        </w:rPr>
        <w:t> / </w:t>
      </w:r>
      <w:hyperlink r:id="rId11" w:history="1">
        <w:r w:rsidRPr="00243AAA">
          <w:rPr>
            <w:rFonts w:ascii="Trebuchet MS" w:eastAsia="Times New Roman" w:hAnsi="Trebuchet MS" w:cs="Times New Roman"/>
            <w:color w:val="717174"/>
            <w:sz w:val="20"/>
            <w:szCs w:val="20"/>
            <w:u w:val="single"/>
            <w:bdr w:val="none" w:sz="0" w:space="0" w:color="auto" w:frame="1"/>
          </w:rPr>
          <w:t>Learn</w:t>
        </w:r>
      </w:hyperlink>
      <w:r w:rsidRPr="00243AAA">
        <w:rPr>
          <w:rFonts w:ascii="Trebuchet MS" w:eastAsia="Times New Roman" w:hAnsi="Trebuchet MS" w:cs="Times New Roman"/>
          <w:color w:val="717174"/>
          <w:sz w:val="20"/>
          <w:szCs w:val="20"/>
        </w:rPr>
        <w:t> / </w:t>
      </w:r>
      <w:hyperlink r:id="rId12" w:history="1">
        <w:r w:rsidRPr="00243AAA">
          <w:rPr>
            <w:rFonts w:ascii="Trebuchet MS" w:eastAsia="Times New Roman" w:hAnsi="Trebuchet MS" w:cs="Times New Roman"/>
            <w:color w:val="717174"/>
            <w:sz w:val="20"/>
            <w:szCs w:val="20"/>
            <w:u w:val="single"/>
            <w:bdr w:val="none" w:sz="0" w:space="0" w:color="auto" w:frame="1"/>
          </w:rPr>
          <w:t>For Educators &amp; Coaches</w:t>
        </w:r>
      </w:hyperlink>
      <w:r w:rsidRPr="00243AAA">
        <w:rPr>
          <w:rFonts w:ascii="Trebuchet MS" w:eastAsia="Times New Roman" w:hAnsi="Trebuchet MS" w:cs="Times New Roman"/>
          <w:color w:val="717174"/>
          <w:sz w:val="20"/>
          <w:szCs w:val="20"/>
        </w:rPr>
        <w:t xml:space="preserve"> / Some Don’ts for Educators and Others Concerned About a Person </w:t>
      </w:r>
      <w:proofErr w:type="gramStart"/>
      <w:r w:rsidRPr="00243AAA">
        <w:rPr>
          <w:rFonts w:ascii="Trebuchet MS" w:eastAsia="Times New Roman" w:hAnsi="Trebuchet MS" w:cs="Times New Roman"/>
          <w:color w:val="717174"/>
          <w:sz w:val="20"/>
          <w:szCs w:val="20"/>
        </w:rPr>
        <w:t>With</w:t>
      </w:r>
      <w:proofErr w:type="gramEnd"/>
      <w:r w:rsidRPr="00243AAA">
        <w:rPr>
          <w:rFonts w:ascii="Trebuchet MS" w:eastAsia="Times New Roman" w:hAnsi="Trebuchet MS" w:cs="Times New Roman"/>
          <w:color w:val="717174"/>
          <w:sz w:val="20"/>
          <w:szCs w:val="20"/>
        </w:rPr>
        <w:t xml:space="preserve"> an Eating Disorder</w:t>
      </w:r>
    </w:p>
    <w:p w:rsidR="00243AAA" w:rsidRPr="00243AAA" w:rsidRDefault="00243AAA" w:rsidP="00243AAA">
      <w:pPr>
        <w:spacing w:after="0" w:line="300" w:lineRule="atLeast"/>
        <w:textAlignment w:val="baseline"/>
        <w:outlineLvl w:val="1"/>
        <w:rPr>
          <w:rFonts w:ascii="Trebuchet MS" w:eastAsia="Times New Roman" w:hAnsi="Trebuchet MS" w:cs="Times New Roman"/>
          <w:color w:val="6EB43F"/>
          <w:sz w:val="26"/>
          <w:szCs w:val="26"/>
        </w:rPr>
      </w:pPr>
      <w:r w:rsidRPr="00243AAA">
        <w:rPr>
          <w:rFonts w:ascii="Trebuchet MS" w:eastAsia="Times New Roman" w:hAnsi="Trebuchet MS" w:cs="Times New Roman"/>
          <w:color w:val="6EB43F"/>
          <w:sz w:val="26"/>
          <w:szCs w:val="26"/>
        </w:rPr>
        <w:t xml:space="preserve">Some Don’ts for Educators and Others Concerned About a Person </w:t>
      </w:r>
      <w:proofErr w:type="gramStart"/>
      <w:r w:rsidRPr="00243AAA">
        <w:rPr>
          <w:rFonts w:ascii="Trebuchet MS" w:eastAsia="Times New Roman" w:hAnsi="Trebuchet MS" w:cs="Times New Roman"/>
          <w:color w:val="6EB43F"/>
          <w:sz w:val="26"/>
          <w:szCs w:val="26"/>
        </w:rPr>
        <w:t>With</w:t>
      </w:r>
      <w:proofErr w:type="gramEnd"/>
      <w:r w:rsidRPr="00243AAA">
        <w:rPr>
          <w:rFonts w:ascii="Trebuchet MS" w:eastAsia="Times New Roman" w:hAnsi="Trebuchet MS" w:cs="Times New Roman"/>
          <w:color w:val="6EB43F"/>
          <w:sz w:val="26"/>
          <w:szCs w:val="26"/>
        </w:rPr>
        <w:t xml:space="preserve"> an Eating Disorder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By: Michael Levine, PhD and Linda </w:t>
      </w:r>
      <w:proofErr w:type="spellStart"/>
      <w:r w:rsidRPr="00243AAA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bdr w:val="none" w:sz="0" w:space="0" w:color="auto" w:frame="1"/>
        </w:rPr>
        <w:t>Smolak</w:t>
      </w:r>
      <w:proofErr w:type="spellEnd"/>
      <w:r w:rsidRPr="00243AAA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bdr w:val="none" w:sz="0" w:space="0" w:color="auto" w:frame="1"/>
        </w:rPr>
        <w:t>, PhD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1.   Don’t cast a net of awe and wonder around the existence of an eating disorder.  Keep the focus on the reality that eating disorders result in: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Inefficiency in the fulfillment of academic, familial, occupational, and other responsibilities.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Misery in the form of food and weight obsession, anxiety about control, guilt, helplessness, hopelessness, and extreme mood swings.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Alienation in the form of social anxiety, social withdrawal, secrecy, mistrust of others, and self-absorption.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Disturbance of self and others through loss of control over dieting, body image, eating, emotions, and decisions.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2.   Don’t oversimplify.  Avoid thinking or saying things such as “Well, eating disorders are just an addiction like alcoholism,” or “All you have to do is start accepting yourself as you are.”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3.   Don’t imply that bulimia nervosa, because it is often associated with “normal weight,” is somehow less serious than anorexia nervosa.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4.   Don’t be judgmental, e.g., don’t tell the person that what they are doing is “sick” or “stupid” or “self-destructive.”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5.   Don’t give advice about weight loss, exercise, or appearance.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6.   Don’t confront the person as part of a group of people, all of whom are firing accusations at the person at once.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7.   Don’t diagnose: keep the focus on IMAD (inefficiency, misery, alienation, </w:t>
      </w:r>
      <w:proofErr w:type="gramStart"/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disturbance</w:t>
      </w:r>
      <w:proofErr w:type="gramEnd"/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) and the ways that the behaviors are negatively affecting the person’s life and well-being.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8.   Don’t become the person’s therapist, savior, or victim.  Do not “promise to keep this a secret no matter what.”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9.   Don’t get into an argument or a battle of wills.  If the person denies having a problem, simply and calmly: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Repeat what you have observed, i.e., evidence that there is a problem.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Repeat your concern about the person’s health and well-being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.Repeat your conviction that the circumstance should at least be evaluated by a counselor or therapist.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End the conversation if it is going nowhere or if either party becomes too upset.  This impasse suggests that the person seeking help needs to consult a professional.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Take any actions necessary for you to carry out your responsibilities.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Leave the door open for further conversations.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</w:p>
    <w:p w:rsidR="00243AAA" w:rsidRPr="00243AAA" w:rsidRDefault="00243AAA" w:rsidP="00243AAA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10.  Don’t be inactive during an emergency: If the person is throwing up several times a day,</w:t>
      </w:r>
      <w:proofErr w:type="gramStart"/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>  passing</w:t>
      </w:r>
      <w:proofErr w:type="gramEnd"/>
      <w:r w:rsidRPr="00243AAA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out, complaining of chest pain, or is suicidal, get professional help immediately.</w:t>
      </w:r>
    </w:p>
    <w:p w:rsidR="00083BA7" w:rsidRDefault="00083BA7"/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47CA"/>
    <w:multiLevelType w:val="multilevel"/>
    <w:tmpl w:val="AF4E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C691A"/>
    <w:multiLevelType w:val="multilevel"/>
    <w:tmpl w:val="D040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B11F1"/>
    <w:multiLevelType w:val="multilevel"/>
    <w:tmpl w:val="FA8A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A"/>
    <w:rsid w:val="00083BA7"/>
    <w:rsid w:val="0024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E3192-8083-4A6F-A2E2-D0546C0E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1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419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6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1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09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1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ud2bme.org/" TargetMode="External"/><Relationship Id="rId12" Type="http://schemas.openxmlformats.org/officeDocument/2006/relationships/hyperlink" Target="http://www.nationaleatingdisorders.org/educators-and-coach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ationaleatingdisorders.org/learn" TargetMode="External"/><Relationship Id="rId5" Type="http://schemas.openxmlformats.org/officeDocument/2006/relationships/hyperlink" Target="http://www.nationaleatingdisorders.org/" TargetMode="External"/><Relationship Id="rId10" Type="http://schemas.openxmlformats.org/officeDocument/2006/relationships/hyperlink" Target="http://www.nationaleatingdisorder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2016-08-16T14:19:00Z</dcterms:created>
  <dcterms:modified xsi:type="dcterms:W3CDTF">2016-08-16T14:20:00Z</dcterms:modified>
</cp:coreProperties>
</file>